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61F94">
      <w:pPr>
        <w:pStyle w:val="17"/>
        <w:keepNext w:val="0"/>
        <w:keepLines w:val="0"/>
        <w:pageBreakBefore w:val="0"/>
        <w:widowControl w:val="0"/>
        <w:kinsoku/>
        <w:wordWrap/>
        <w:overflowPunct/>
        <w:topLinePunct w:val="0"/>
        <w:autoSpaceDE/>
        <w:autoSpaceDN/>
        <w:bidi w:val="0"/>
        <w:spacing w:line="58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1</w:t>
      </w:r>
    </w:p>
    <w:p w14:paraId="6FDBEE7A">
      <w:pPr>
        <w:pStyle w:val="19"/>
        <w:keepNext w:val="0"/>
        <w:keepLines w:val="0"/>
        <w:pageBreakBefore w:val="0"/>
        <w:widowControl w:val="0"/>
        <w:kinsoku/>
        <w:wordWrap/>
        <w:overflowPunct/>
        <w:topLinePunct w:val="0"/>
        <w:autoSpaceDE/>
        <w:autoSpaceDN/>
        <w:bidi w:val="0"/>
        <w:spacing w:line="580" w:lineRule="exact"/>
        <w:rPr>
          <w:rFonts w:hint="eastAsia"/>
          <w:color w:val="auto"/>
          <w:highlight w:val="none"/>
          <w:lang w:val="en-US" w:eastAsia="zh-CN"/>
        </w:rPr>
      </w:pPr>
    </w:p>
    <w:p w14:paraId="7AEEA787">
      <w:pPr>
        <w:keepNext w:val="0"/>
        <w:keepLines w:val="0"/>
        <w:pageBreakBefore w:val="0"/>
        <w:widowControl w:val="0"/>
        <w:kinsoku/>
        <w:wordWrap/>
        <w:overflowPunct/>
        <w:topLinePunct w:val="0"/>
        <w:autoSpaceDE/>
        <w:autoSpaceDN/>
        <w:bidi w:val="0"/>
        <w:adjustRightInd/>
        <w:snapToGrid/>
        <w:spacing w:line="58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中国工程科技发展战略广西研究院</w:t>
      </w:r>
    </w:p>
    <w:p w14:paraId="4C44B608">
      <w:pPr>
        <w:keepNext w:val="0"/>
        <w:keepLines w:val="0"/>
        <w:pageBreakBefore w:val="0"/>
        <w:widowControl w:val="0"/>
        <w:kinsoku/>
        <w:wordWrap/>
        <w:overflowPunct/>
        <w:topLinePunct w:val="0"/>
        <w:autoSpaceDE/>
        <w:autoSpaceDN/>
        <w:bidi w:val="0"/>
        <w:adjustRightInd/>
        <w:snapToGrid/>
        <w:spacing w:line="58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rPr>
        <w:t>年</w:t>
      </w:r>
      <w:r>
        <w:rPr>
          <w:rFonts w:hint="eastAsia" w:ascii="方正小标宋简体" w:hAnsi="方正小标宋简体" w:eastAsia="方正小标宋简体" w:cs="方正小标宋简体"/>
          <w:color w:val="auto"/>
          <w:sz w:val="44"/>
          <w:szCs w:val="44"/>
          <w:highlight w:val="none"/>
          <w:lang w:val="en-US" w:eastAsia="zh-CN"/>
        </w:rPr>
        <w:t>第二批</w:t>
      </w:r>
      <w:r>
        <w:rPr>
          <w:rFonts w:hint="eastAsia" w:ascii="方正小标宋简体" w:hAnsi="方正小标宋简体" w:eastAsia="方正小标宋简体" w:cs="方正小标宋简体"/>
          <w:color w:val="auto"/>
          <w:sz w:val="44"/>
          <w:szCs w:val="44"/>
          <w:highlight w:val="none"/>
        </w:rPr>
        <w:t>咨询研究项目申报指南</w:t>
      </w:r>
    </w:p>
    <w:p w14:paraId="792CADD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eastAsia="方正小标宋简体"/>
          <w:color w:val="auto"/>
          <w:sz w:val="44"/>
          <w:szCs w:val="44"/>
          <w:highlight w:val="none"/>
        </w:rPr>
      </w:pPr>
    </w:p>
    <w:p w14:paraId="1DECC65C">
      <w:pPr>
        <w:keepNext w:val="0"/>
        <w:keepLines w:val="0"/>
        <w:pageBreakBefore w:val="0"/>
        <w:widowControl w:val="0"/>
        <w:kinsoku/>
        <w:wordWrap/>
        <w:overflowPunct/>
        <w:topLinePunct w:val="0"/>
        <w:autoSpaceDE/>
        <w:autoSpaceDN/>
        <w:bidi w:val="0"/>
        <w:snapToGrid/>
        <w:spacing w:after="0" w:line="580" w:lineRule="exact"/>
        <w:ind w:left="0"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一、广西半导体产业培育发展战略研究</w:t>
      </w:r>
    </w:p>
    <w:p w14:paraId="7B8AB841">
      <w:pPr>
        <w:keepNext w:val="0"/>
        <w:keepLines w:val="0"/>
        <w:pageBreakBefore w:val="0"/>
        <w:widowControl w:val="0"/>
        <w:kinsoku/>
        <w:wordWrap/>
        <w:overflowPunct/>
        <w:topLinePunct w:val="0"/>
        <w:autoSpaceDE/>
        <w:autoSpaceDN/>
        <w:bidi w:val="0"/>
        <w:snapToGrid/>
        <w:spacing w:after="0" w:line="580" w:lineRule="exact"/>
        <w:ind w:left="0" w:firstLine="643"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楷体_GB2312" w:hAnsi="Times New Roman" w:eastAsia="楷体_GB2312" w:cs="Times New Roman"/>
          <w:b/>
          <w:bCs/>
          <w:color w:val="auto"/>
          <w:kern w:val="32"/>
          <w:sz w:val="32"/>
          <w:szCs w:val="32"/>
          <w:highlight w:val="none"/>
          <w:lang w:val="en-US" w:eastAsia="zh-CN"/>
        </w:rPr>
        <w:t>研究内容：</w:t>
      </w:r>
      <w:r>
        <w:rPr>
          <w:rFonts w:hint="eastAsia" w:ascii="Times New Roman" w:hAnsi="Times New Roman" w:eastAsia="仿宋_GB2312" w:cs="Times New Roman"/>
          <w:b w:val="0"/>
          <w:bCs w:val="0"/>
          <w:color w:val="auto"/>
          <w:sz w:val="32"/>
          <w:szCs w:val="32"/>
          <w:highlight w:val="none"/>
          <w:lang w:val="en-US" w:eastAsia="zh-CN"/>
        </w:rPr>
        <w:t>从产业规模、发展趋势等方面分析国内半导体产业发展态势，深入调研广西半导体产业分布、规模、应用情况等现状，评估产业发展潜力，研究分析广西半导体行业发展面临的机遇与挑战、存在的问题，挖掘广西半导体产业的关键核心技术需求，编制广西半导体产业技术路线图，研究提出广西半导体产业培育发展的重点方向、战略布局和具体举措等。</w:t>
      </w:r>
    </w:p>
    <w:p w14:paraId="5037645A">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黑体" w:hAnsi="黑体" w:eastAsia="黑体" w:cs="黑体"/>
          <w:color w:val="auto"/>
          <w:kern w:val="2"/>
          <w:sz w:val="32"/>
          <w:szCs w:val="32"/>
          <w:highlight w:val="none"/>
        </w:rPr>
      </w:pP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color w:val="auto"/>
          <w:kern w:val="2"/>
          <w:sz w:val="32"/>
          <w:szCs w:val="32"/>
          <w:highlight w:val="none"/>
        </w:rPr>
        <w:t>广西低空经济发展战略研究</w:t>
      </w:r>
    </w:p>
    <w:p w14:paraId="6D619600">
      <w:pPr>
        <w:keepNext w:val="0"/>
        <w:keepLines w:val="0"/>
        <w:pageBreakBefore w:val="0"/>
        <w:widowControl w:val="0"/>
        <w:kinsoku/>
        <w:wordWrap/>
        <w:overflowPunct/>
        <w:topLinePunct w:val="0"/>
        <w:autoSpaceDE/>
        <w:autoSpaceDN/>
        <w:bidi w:val="0"/>
        <w:snapToGrid/>
        <w:spacing w:line="580" w:lineRule="exact"/>
        <w:ind w:left="0" w:firstLine="643" w:firstLineChars="200"/>
        <w:jc w:val="both"/>
        <w:textAlignment w:val="auto"/>
        <w:rPr>
          <w:rFonts w:hint="eastAsia" w:ascii="Times New Roman" w:hAnsi="Times New Roman" w:eastAsia="仿宋_GB2312" w:cs="Times New Roman"/>
          <w:color w:val="auto"/>
          <w:kern w:val="32"/>
          <w:sz w:val="32"/>
          <w:szCs w:val="32"/>
          <w:highlight w:val="none"/>
          <w:lang w:val="en-US" w:eastAsia="zh-CN"/>
        </w:rPr>
      </w:pPr>
      <w:r>
        <w:rPr>
          <w:rFonts w:hint="eastAsia" w:ascii="楷体_GB2312" w:hAnsi="Times New Roman" w:eastAsia="楷体_GB2312" w:cs="Times New Roman"/>
          <w:b/>
          <w:bCs/>
          <w:color w:val="auto"/>
          <w:kern w:val="32"/>
          <w:sz w:val="32"/>
          <w:szCs w:val="32"/>
          <w:highlight w:val="none"/>
          <w:lang w:val="en-US" w:eastAsia="zh-CN"/>
        </w:rPr>
        <w:t>研究内容：</w:t>
      </w:r>
      <w:r>
        <w:rPr>
          <w:rFonts w:hint="eastAsia" w:ascii="Calibri" w:hAnsi="Calibri" w:eastAsia="仿宋_GB2312" w:cs="Times New Roman"/>
          <w:color w:val="auto"/>
          <w:kern w:val="32"/>
          <w:sz w:val="32"/>
          <w:szCs w:val="32"/>
          <w:highlight w:val="none"/>
          <w:lang w:val="en-US" w:eastAsia="zh-CN"/>
        </w:rPr>
        <w:t>分析我国低空经济发展趋势和广西低空经济发展现状，评估广西低空经济发展潜力，剖析当前广西低空经济发展面临的问题和挑战，编制广西低空经济产业链发展路线图，凝练低空经济技术需求清单，研究推动广西低空经济发展的实施路径，提出加快培育发展低空经济产业链的具体举措，</w:t>
      </w:r>
      <w:r>
        <w:rPr>
          <w:rFonts w:hint="default" w:ascii="Times New Roman" w:hAnsi="Times New Roman" w:eastAsia="仿宋_GB2312" w:cs="Times New Roman"/>
          <w:color w:val="auto"/>
          <w:kern w:val="32"/>
          <w:sz w:val="32"/>
          <w:szCs w:val="32"/>
          <w:highlight w:val="none"/>
          <w:lang w:eastAsia="zh-CN"/>
        </w:rPr>
        <w:t>为广西</w:t>
      </w:r>
      <w:r>
        <w:rPr>
          <w:rFonts w:hint="eastAsia" w:ascii="Times New Roman" w:hAnsi="Times New Roman" w:eastAsia="仿宋_GB2312" w:cs="Times New Roman"/>
          <w:color w:val="auto"/>
          <w:kern w:val="32"/>
          <w:sz w:val="32"/>
          <w:szCs w:val="32"/>
          <w:highlight w:val="none"/>
          <w:lang w:val="en-US" w:eastAsia="zh-CN"/>
        </w:rPr>
        <w:t>构建符合本地区特点的低空经济产业生态提供战略支撑。</w:t>
      </w:r>
    </w:p>
    <w:p w14:paraId="5C1B84FE">
      <w:pPr>
        <w:keepNext w:val="0"/>
        <w:keepLines w:val="0"/>
        <w:pageBreakBefore w:val="0"/>
        <w:widowControl w:val="0"/>
        <w:kinsoku/>
        <w:wordWrap/>
        <w:overflowPunct/>
        <w:topLinePunct w:val="0"/>
        <w:autoSpaceDE/>
        <w:autoSpaceDN/>
        <w:bidi w:val="0"/>
        <w:snapToGrid/>
        <w:spacing w:line="580" w:lineRule="exact"/>
        <w:ind w:left="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color w:val="000000"/>
          <w:kern w:val="2"/>
          <w:sz w:val="32"/>
          <w:szCs w:val="32"/>
          <w:highlight w:val="none"/>
        </w:rPr>
        <w:t>广西</w:t>
      </w:r>
      <w:r>
        <w:rPr>
          <w:rFonts w:hint="eastAsia" w:ascii="黑体" w:hAnsi="黑体" w:eastAsia="黑体" w:cs="黑体"/>
          <w:color w:val="000000"/>
          <w:kern w:val="2"/>
          <w:sz w:val="32"/>
          <w:szCs w:val="32"/>
          <w:highlight w:val="none"/>
          <w:lang w:eastAsia="zh-CN"/>
        </w:rPr>
        <w:t>生物医药</w:t>
      </w:r>
      <w:r>
        <w:rPr>
          <w:rFonts w:hint="eastAsia" w:ascii="黑体" w:hAnsi="黑体" w:eastAsia="黑体" w:cs="黑体"/>
          <w:color w:val="000000"/>
          <w:kern w:val="2"/>
          <w:sz w:val="32"/>
          <w:szCs w:val="32"/>
          <w:highlight w:val="none"/>
        </w:rPr>
        <w:t>产业</w:t>
      </w:r>
      <w:r>
        <w:rPr>
          <w:rFonts w:hint="eastAsia" w:ascii="黑体" w:hAnsi="黑体" w:eastAsia="黑体" w:cs="黑体"/>
          <w:color w:val="000000"/>
          <w:kern w:val="2"/>
          <w:sz w:val="32"/>
          <w:szCs w:val="32"/>
          <w:highlight w:val="none"/>
          <w:lang w:val="en-US" w:eastAsia="zh-CN"/>
        </w:rPr>
        <w:t>创新</w:t>
      </w:r>
      <w:r>
        <w:rPr>
          <w:rFonts w:hint="eastAsia" w:ascii="黑体" w:hAnsi="黑体" w:eastAsia="黑体" w:cs="黑体"/>
          <w:color w:val="000000"/>
          <w:kern w:val="2"/>
          <w:sz w:val="32"/>
          <w:szCs w:val="32"/>
          <w:highlight w:val="none"/>
        </w:rPr>
        <w:t>发展战略研究</w:t>
      </w:r>
    </w:p>
    <w:p w14:paraId="3E106ACF">
      <w:pPr>
        <w:keepNext w:val="0"/>
        <w:keepLines w:val="0"/>
        <w:pageBreakBefore w:val="0"/>
        <w:widowControl w:val="0"/>
        <w:kinsoku/>
        <w:wordWrap/>
        <w:overflowPunct/>
        <w:topLinePunct w:val="0"/>
        <w:autoSpaceDE/>
        <w:autoSpaceDN/>
        <w:bidi w:val="0"/>
        <w:snapToGrid/>
        <w:spacing w:line="580" w:lineRule="exact"/>
        <w:ind w:left="0" w:firstLine="643" w:firstLineChars="200"/>
        <w:jc w:val="both"/>
        <w:textAlignment w:val="auto"/>
        <w:rPr>
          <w:rFonts w:hint="default" w:ascii="黑体" w:hAnsi="黑体" w:eastAsia="黑体" w:cs="黑体"/>
          <w:b w:val="0"/>
          <w:bCs w:val="0"/>
          <w:color w:val="auto"/>
          <w:sz w:val="32"/>
          <w:szCs w:val="32"/>
          <w:highlight w:val="none"/>
          <w:lang w:val="en-US" w:eastAsia="zh-CN"/>
        </w:rPr>
      </w:pPr>
      <w:r>
        <w:rPr>
          <w:rFonts w:hint="default" w:ascii="楷体_GB2312" w:hAnsi="Times New Roman" w:eastAsia="楷体_GB2312" w:cs="Times New Roman"/>
          <w:b/>
          <w:bCs/>
          <w:color w:val="auto"/>
          <w:kern w:val="32"/>
          <w:sz w:val="32"/>
          <w:szCs w:val="32"/>
          <w:highlight w:val="none"/>
          <w:lang w:val="en-US" w:eastAsia="zh-CN"/>
        </w:rPr>
        <w:t>研究内容：</w:t>
      </w:r>
      <w:r>
        <w:rPr>
          <w:rFonts w:hint="eastAsia" w:ascii="Times New Roman" w:hAnsi="Times New Roman" w:eastAsia="仿宋_GB2312" w:cs="Times New Roman"/>
          <w:b w:val="0"/>
          <w:bCs w:val="0"/>
          <w:sz w:val="32"/>
          <w:szCs w:val="32"/>
          <w:lang w:val="en-US" w:eastAsia="zh-CN"/>
        </w:rPr>
        <w:t>结</w:t>
      </w:r>
      <w:r>
        <w:rPr>
          <w:rFonts w:hint="eastAsia" w:ascii="仿宋_GB2312" w:hAnsi="仿宋_GB2312" w:eastAsia="仿宋_GB2312" w:cs="仿宋_GB2312"/>
          <w:b w:val="0"/>
          <w:bCs w:val="0"/>
          <w:kern w:val="32"/>
          <w:sz w:val="32"/>
          <w:szCs w:val="32"/>
          <w:lang w:val="en-US" w:eastAsia="zh-CN" w:bidi="ar-SA"/>
        </w:rPr>
        <w:t>合“健康中国”背景下生物医药产业发展机遇和国内生物医药产业发展趋势，立足广西壮瑶药、实验动物等资源禀赋和区位优势，研究分析广西生物医药产业规模、布局等发展现状，主要挑战及发展瓶颈问题，瞄准细胞与基因治疗、合成生物、再生医学等基础前沿领域和新赛道，提出广西生物医药产业关键技术创新的主攻方向、优化产业布局的重点领域和突破路径、产业创新发展的重点任务和对策建议等，为广西生物医药产业的发展提供有力支撑。</w:t>
      </w:r>
    </w:p>
    <w:p w14:paraId="554564A5">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黑体" w:hAnsi="黑体" w:eastAsia="黑体" w:cs="黑体"/>
          <w:color w:val="auto"/>
          <w:kern w:val="2"/>
          <w:sz w:val="32"/>
          <w:szCs w:val="32"/>
          <w:highlight w:val="none"/>
        </w:rPr>
      </w:pP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color w:val="auto"/>
          <w:kern w:val="2"/>
          <w:sz w:val="32"/>
          <w:szCs w:val="32"/>
          <w:highlight w:val="none"/>
        </w:rPr>
        <w:t>广西地球空间信息创新应用发展</w:t>
      </w:r>
      <w:r>
        <w:rPr>
          <w:rFonts w:hint="eastAsia" w:ascii="黑体" w:hAnsi="黑体" w:eastAsia="黑体" w:cs="黑体"/>
          <w:color w:val="auto"/>
          <w:kern w:val="2"/>
          <w:sz w:val="32"/>
          <w:szCs w:val="32"/>
          <w:highlight w:val="none"/>
          <w:lang w:val="en-US" w:eastAsia="zh-CN"/>
        </w:rPr>
        <w:t>战</w:t>
      </w:r>
      <w:r>
        <w:rPr>
          <w:rFonts w:hint="eastAsia" w:ascii="黑体" w:hAnsi="黑体" w:eastAsia="黑体" w:cs="黑体"/>
          <w:color w:val="auto"/>
          <w:kern w:val="2"/>
          <w:sz w:val="32"/>
          <w:szCs w:val="32"/>
          <w:highlight w:val="none"/>
        </w:rPr>
        <w:t>略研究</w:t>
      </w:r>
    </w:p>
    <w:p w14:paraId="46E155E1">
      <w:pPr>
        <w:pStyle w:val="17"/>
        <w:keepNext w:val="0"/>
        <w:keepLines w:val="0"/>
        <w:pageBreakBefore w:val="0"/>
        <w:widowControl w:val="0"/>
        <w:kinsoku/>
        <w:wordWrap/>
        <w:overflowPunct/>
        <w:topLinePunct w:val="0"/>
        <w:autoSpaceDE/>
        <w:autoSpaceDN/>
        <w:bidi w:val="0"/>
        <w:adjustRightInd w:val="0"/>
        <w:snapToGrid/>
        <w:spacing w:line="580" w:lineRule="exact"/>
        <w:ind w:left="0" w:firstLine="643" w:firstLineChars="200"/>
        <w:jc w:val="both"/>
        <w:textAlignment w:val="baseline"/>
        <w:rPr>
          <w:rFonts w:hint="eastAsia" w:ascii="宋体" w:cs="宋体"/>
          <w:color w:val="auto"/>
          <w:sz w:val="32"/>
          <w:szCs w:val="32"/>
          <w:highlight w:val="none"/>
          <w:lang w:val="en-US" w:eastAsia="zh-CN"/>
        </w:rPr>
      </w:pPr>
      <w:r>
        <w:rPr>
          <w:rFonts w:hint="eastAsia" w:ascii="楷体_GB2312" w:hAnsi="Times New Roman" w:eastAsia="楷体_GB2312" w:cs="Times New Roman"/>
          <w:b/>
          <w:bCs/>
          <w:color w:val="auto"/>
          <w:kern w:val="32"/>
          <w:sz w:val="32"/>
          <w:szCs w:val="32"/>
          <w:highlight w:val="none"/>
          <w:lang w:val="en-US" w:eastAsia="zh-CN" w:bidi="ar-SA"/>
        </w:rPr>
        <w:t>研究内容：</w:t>
      </w:r>
      <w:r>
        <w:rPr>
          <w:rFonts w:hint="eastAsia" w:ascii="仿宋_GB2312" w:hAnsi="仿宋_GB2312" w:eastAsia="仿宋_GB2312" w:cs="仿宋_GB2312"/>
          <w:b w:val="0"/>
          <w:bCs w:val="0"/>
          <w:color w:val="auto"/>
          <w:kern w:val="32"/>
          <w:sz w:val="32"/>
          <w:szCs w:val="32"/>
          <w:highlight w:val="none"/>
          <w:lang w:val="en-US" w:eastAsia="zh-CN"/>
        </w:rPr>
        <w:t>分析广西地球空间信息领域发展的现状和趋势，研究</w:t>
      </w:r>
      <w:r>
        <w:rPr>
          <w:rFonts w:hint="eastAsia" w:ascii="Times New Roman" w:hAnsi="Times New Roman" w:eastAsia="仿宋_GB2312" w:cs="Times New Roman"/>
          <w:b w:val="0"/>
          <w:bCs w:val="0"/>
          <w:color w:val="auto"/>
          <w:kern w:val="32"/>
          <w:sz w:val="32"/>
          <w:szCs w:val="32"/>
          <w:highlight w:val="none"/>
          <w:lang w:val="en-US" w:eastAsia="zh-CN"/>
        </w:rPr>
        <w:t>分析地球空间信息领域技术在自然资源调查、生态监测与应急管理、公共安全与公共服务产业、智能</w:t>
      </w:r>
      <w:r>
        <w:rPr>
          <w:rFonts w:hint="eastAsia" w:ascii="仿宋_GB2312" w:hAnsi="仿宋_GB2312" w:eastAsia="仿宋_GB2312" w:cs="仿宋_GB2312"/>
          <w:b w:val="0"/>
          <w:bCs w:val="0"/>
          <w:color w:val="auto"/>
          <w:kern w:val="32"/>
          <w:sz w:val="32"/>
          <w:szCs w:val="32"/>
          <w:highlight w:val="none"/>
          <w:lang w:val="en-US" w:eastAsia="zh-CN"/>
        </w:rPr>
        <w:t>驾驶与机器人产业和低空经济产业等方面应用发展的趋势和未来发展策略。研究分析构建与国家统一的高精度时空基准和四维时空框架现有基础和维护条件、开展通导遥一体化的空天信息实时智能服务的基础条件和未来发展策略。结合广西加快数字经济发展的要求、因地制宜发展新质生产力的需要，绘制地球空间信息产业链图谱，提出广西加强地球空间信息创新应用发展重点、方向、战略目标和实施策略等，为地球空间信息赋能广西高质量发展提供有力支撑。</w:t>
      </w:r>
    </w:p>
    <w:p w14:paraId="7D427A3D">
      <w:pPr>
        <w:keepNext w:val="0"/>
        <w:keepLines w:val="0"/>
        <w:pageBreakBefore w:val="0"/>
        <w:widowControl w:val="0"/>
        <w:kinsoku/>
        <w:wordWrap/>
        <w:overflowPunct/>
        <w:topLinePunct w:val="0"/>
        <w:autoSpaceDE/>
        <w:autoSpaceDN/>
        <w:bidi w:val="0"/>
        <w:snapToGrid/>
        <w:spacing w:after="0" w:line="580" w:lineRule="exact"/>
        <w:ind w:left="0"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五、广西现代农机装备创新发展战略研究</w:t>
      </w:r>
    </w:p>
    <w:p w14:paraId="5080C06F">
      <w:pPr>
        <w:keepNext w:val="0"/>
        <w:keepLines w:val="0"/>
        <w:pageBreakBefore w:val="0"/>
        <w:widowControl w:val="0"/>
        <w:kinsoku/>
        <w:wordWrap/>
        <w:overflowPunct/>
        <w:topLinePunct w:val="0"/>
        <w:autoSpaceDE/>
        <w:autoSpaceDN/>
        <w:bidi w:val="0"/>
        <w:snapToGrid/>
        <w:spacing w:after="0" w:line="580" w:lineRule="exact"/>
        <w:ind w:left="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Times New Roman" w:eastAsia="楷体_GB2312" w:cs="Times New Roman"/>
          <w:b/>
          <w:bCs/>
          <w:color w:val="auto"/>
          <w:kern w:val="32"/>
          <w:sz w:val="32"/>
          <w:szCs w:val="32"/>
          <w:highlight w:val="none"/>
          <w:lang w:val="en-US" w:eastAsia="zh-CN"/>
        </w:rPr>
        <w:t>研究内容：</w:t>
      </w:r>
      <w:r>
        <w:rPr>
          <w:rFonts w:hint="eastAsia" w:ascii="Times New Roman" w:hAnsi="Times New Roman" w:eastAsia="仿宋_GB2312" w:cs="Times New Roman"/>
          <w:b w:val="0"/>
          <w:bCs w:val="0"/>
          <w:color w:val="auto"/>
          <w:sz w:val="32"/>
          <w:szCs w:val="32"/>
          <w:highlight w:val="none"/>
          <w:lang w:val="en-US" w:eastAsia="zh-CN"/>
        </w:rPr>
        <w:t>分析国内外现代农机装备发展态势，调研广西农机产业发展现状，分析广西现代农机装备发展面临的主要问题、机遇和挑战，立足广西实际，聚焦丘陵山区专用农业机械、水稻种植与收获机械、甘蔗生产全程机械、农机配件等多领域的产品研制及应用，挖掘广西现代农机装备技术需求，研究提出广西现代农机装备发展的主要方向、重点任务和对策建议。</w:t>
      </w:r>
    </w:p>
    <w:p w14:paraId="1B4982D1">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六、广西新型电池产业创新发展战略研究</w:t>
      </w:r>
    </w:p>
    <w:p w14:paraId="37DDC50E">
      <w:pPr>
        <w:pStyle w:val="19"/>
        <w:keepNext w:val="0"/>
        <w:keepLines w:val="0"/>
        <w:pageBreakBefore w:val="0"/>
        <w:widowControl w:val="0"/>
        <w:kinsoku/>
        <w:wordWrap/>
        <w:overflowPunct/>
        <w:topLinePunct w:val="0"/>
        <w:autoSpaceDE/>
        <w:autoSpaceDN/>
        <w:bidi w:val="0"/>
        <w:snapToGrid/>
        <w:spacing w:line="580" w:lineRule="exact"/>
        <w:ind w:left="0" w:firstLine="643" w:firstLineChars="200"/>
        <w:jc w:val="both"/>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楷体_GB2312" w:hAnsi="Times New Roman" w:eastAsia="楷体_GB2312" w:cs="Times New Roman"/>
          <w:b/>
          <w:bCs/>
          <w:color w:val="auto"/>
          <w:kern w:val="32"/>
          <w:sz w:val="32"/>
          <w:szCs w:val="32"/>
          <w:highlight w:val="none"/>
          <w:lang w:val="en-US" w:eastAsia="zh-CN" w:bidi="ar-SA"/>
        </w:rPr>
        <w:t>研究内容：</w:t>
      </w:r>
      <w:r>
        <w:rPr>
          <w:rFonts w:hint="eastAsia" w:ascii="Times New Roman" w:hAnsi="Times New Roman" w:eastAsia="仿宋_GB2312" w:cs="Times New Roman"/>
          <w:b w:val="0"/>
          <w:bCs w:val="0"/>
          <w:color w:val="auto"/>
          <w:kern w:val="2"/>
          <w:sz w:val="32"/>
          <w:szCs w:val="32"/>
          <w:highlight w:val="none"/>
          <w:lang w:val="en-US" w:eastAsia="zh-CN" w:bidi="ar-SA"/>
        </w:rPr>
        <w:t>分析当前新型电池产业在全国发展的态势，深入调研了解广西锂离子电池、固态电池等新型电池产业布局、规模、应用情况等现状</w:t>
      </w:r>
      <w:r>
        <w:rPr>
          <w:rFonts w:hint="default" w:ascii="Times New Roman" w:hAnsi="Times New Roman" w:eastAsia="仿宋_GB2312" w:cs="Times New Roman"/>
          <w:b w:val="0"/>
          <w:bCs w:val="0"/>
          <w:color w:val="auto"/>
          <w:kern w:val="2"/>
          <w:sz w:val="32"/>
          <w:szCs w:val="32"/>
          <w:highlight w:val="none"/>
          <w:lang w:val="en-US" w:eastAsia="zh-CN" w:bidi="ar-SA"/>
        </w:rPr>
        <w:t>，评估</w:t>
      </w:r>
      <w:r>
        <w:rPr>
          <w:rFonts w:hint="eastAsia" w:ascii="Times New Roman" w:hAnsi="Times New Roman" w:eastAsia="仿宋_GB2312" w:cs="Times New Roman"/>
          <w:b w:val="0"/>
          <w:bCs w:val="0"/>
          <w:color w:val="auto"/>
          <w:kern w:val="2"/>
          <w:sz w:val="32"/>
          <w:szCs w:val="32"/>
          <w:highlight w:val="none"/>
          <w:lang w:val="en-US" w:eastAsia="zh-CN" w:bidi="ar-SA"/>
        </w:rPr>
        <w:t>产业发展的潜力和产业链韧性</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剖析当前广西新型电池产业面临的主要技术瓶颈等</w:t>
      </w:r>
      <w:r>
        <w:rPr>
          <w:rFonts w:hint="default" w:ascii="Times New Roman" w:hAnsi="Times New Roman" w:eastAsia="仿宋_GB2312" w:cs="Times New Roman"/>
          <w:b w:val="0"/>
          <w:bCs w:val="0"/>
          <w:color w:val="auto"/>
          <w:kern w:val="2"/>
          <w:sz w:val="32"/>
          <w:szCs w:val="32"/>
          <w:highlight w:val="none"/>
          <w:lang w:val="en-US" w:eastAsia="zh-CN" w:bidi="ar-SA"/>
        </w:rPr>
        <w:t>问题，从关键技术攻关、应用场景突破</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产业延链补链、</w:t>
      </w:r>
      <w:r>
        <w:rPr>
          <w:rFonts w:hint="eastAsia" w:ascii="Times New Roman" w:hAnsi="Times New Roman" w:eastAsia="仿宋_GB2312" w:cs="Times New Roman"/>
          <w:b w:val="0"/>
          <w:bCs w:val="0"/>
          <w:color w:val="auto"/>
          <w:kern w:val="2"/>
          <w:sz w:val="32"/>
          <w:szCs w:val="32"/>
          <w:highlight w:val="none"/>
          <w:lang w:val="en-US" w:eastAsia="zh-CN" w:bidi="ar-SA"/>
        </w:rPr>
        <w:t>产品循环利用</w:t>
      </w:r>
      <w:r>
        <w:rPr>
          <w:rFonts w:hint="default" w:ascii="Times New Roman" w:hAnsi="Times New Roman" w:eastAsia="仿宋_GB2312" w:cs="Times New Roman"/>
          <w:b w:val="0"/>
          <w:bCs w:val="0"/>
          <w:color w:val="auto"/>
          <w:kern w:val="2"/>
          <w:sz w:val="32"/>
          <w:szCs w:val="32"/>
          <w:highlight w:val="none"/>
          <w:lang w:val="en-US" w:eastAsia="zh-CN" w:bidi="ar-SA"/>
        </w:rPr>
        <w:t>等</w:t>
      </w:r>
      <w:r>
        <w:rPr>
          <w:rFonts w:hint="eastAsia" w:ascii="Times New Roman" w:hAnsi="Times New Roman" w:eastAsia="仿宋_GB2312" w:cs="Times New Roman"/>
          <w:b w:val="0"/>
          <w:bCs w:val="0"/>
          <w:color w:val="auto"/>
          <w:kern w:val="2"/>
          <w:sz w:val="32"/>
          <w:szCs w:val="32"/>
          <w:highlight w:val="none"/>
          <w:lang w:val="en-US" w:eastAsia="zh-CN" w:bidi="ar-SA"/>
        </w:rPr>
        <w:t>方面</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研究提出广西</w:t>
      </w:r>
      <w:r>
        <w:rPr>
          <w:rFonts w:hint="default" w:ascii="Times New Roman" w:hAnsi="Times New Roman" w:eastAsia="仿宋_GB2312" w:cs="Times New Roman"/>
          <w:b w:val="0"/>
          <w:bCs w:val="0"/>
          <w:color w:val="auto"/>
          <w:kern w:val="2"/>
          <w:sz w:val="32"/>
          <w:szCs w:val="32"/>
          <w:highlight w:val="none"/>
          <w:lang w:val="en-US" w:eastAsia="zh-CN" w:bidi="ar-SA"/>
        </w:rPr>
        <w:t>新型电池产业</w:t>
      </w:r>
      <w:r>
        <w:rPr>
          <w:rFonts w:hint="eastAsia" w:ascii="Times New Roman" w:hAnsi="Times New Roman" w:eastAsia="仿宋_GB2312" w:cs="Times New Roman"/>
          <w:b w:val="0"/>
          <w:bCs w:val="0"/>
          <w:color w:val="auto"/>
          <w:kern w:val="2"/>
          <w:sz w:val="32"/>
          <w:szCs w:val="32"/>
          <w:highlight w:val="none"/>
          <w:lang w:val="en-US" w:eastAsia="zh-CN" w:bidi="ar-SA"/>
        </w:rPr>
        <w:t>发展的重点方向，以及</w:t>
      </w:r>
      <w:r>
        <w:rPr>
          <w:rFonts w:hint="default" w:ascii="Times New Roman" w:hAnsi="Times New Roman" w:eastAsia="仿宋_GB2312" w:cs="Times New Roman"/>
          <w:b w:val="0"/>
          <w:bCs w:val="0"/>
          <w:color w:val="auto"/>
          <w:kern w:val="2"/>
          <w:sz w:val="32"/>
          <w:szCs w:val="32"/>
          <w:highlight w:val="none"/>
          <w:lang w:val="en-US" w:eastAsia="zh-CN" w:bidi="ar-SA"/>
        </w:rPr>
        <w:t>有序推进</w:t>
      </w:r>
      <w:r>
        <w:rPr>
          <w:rFonts w:hint="eastAsia" w:ascii="Times New Roman" w:hAnsi="Times New Roman" w:eastAsia="仿宋_GB2312" w:cs="Times New Roman"/>
          <w:b w:val="0"/>
          <w:bCs w:val="0"/>
          <w:color w:val="auto"/>
          <w:kern w:val="2"/>
          <w:sz w:val="32"/>
          <w:szCs w:val="32"/>
          <w:highlight w:val="none"/>
          <w:lang w:val="en-US" w:eastAsia="zh-CN" w:bidi="ar-SA"/>
        </w:rPr>
        <w:t>产业创新</w:t>
      </w:r>
      <w:r>
        <w:rPr>
          <w:rFonts w:hint="default" w:ascii="Times New Roman" w:hAnsi="Times New Roman" w:eastAsia="仿宋_GB2312" w:cs="Times New Roman"/>
          <w:b w:val="0"/>
          <w:bCs w:val="0"/>
          <w:color w:val="auto"/>
          <w:kern w:val="2"/>
          <w:sz w:val="32"/>
          <w:szCs w:val="32"/>
          <w:highlight w:val="none"/>
          <w:lang w:val="en-US" w:eastAsia="zh-CN" w:bidi="ar-SA"/>
        </w:rPr>
        <w:t>发展的</w:t>
      </w:r>
      <w:r>
        <w:rPr>
          <w:rFonts w:hint="eastAsia" w:ascii="Times New Roman" w:hAnsi="Times New Roman" w:eastAsia="仿宋_GB2312" w:cs="Times New Roman"/>
          <w:b w:val="0"/>
          <w:bCs w:val="0"/>
          <w:color w:val="auto"/>
          <w:kern w:val="2"/>
          <w:sz w:val="32"/>
          <w:szCs w:val="32"/>
          <w:highlight w:val="none"/>
          <w:lang w:val="en-US" w:eastAsia="zh-CN" w:bidi="ar-SA"/>
        </w:rPr>
        <w:t>具体</w:t>
      </w:r>
      <w:r>
        <w:rPr>
          <w:rFonts w:hint="default" w:ascii="Times New Roman" w:hAnsi="Times New Roman" w:eastAsia="仿宋_GB2312" w:cs="Times New Roman"/>
          <w:b w:val="0"/>
          <w:bCs w:val="0"/>
          <w:color w:val="auto"/>
          <w:kern w:val="2"/>
          <w:sz w:val="32"/>
          <w:szCs w:val="32"/>
          <w:highlight w:val="none"/>
          <w:lang w:val="en-US" w:eastAsia="zh-CN" w:bidi="ar-SA"/>
        </w:rPr>
        <w:t>举措。</w:t>
      </w:r>
    </w:p>
    <w:p w14:paraId="4232445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rPr>
          <w:rFonts w:eastAsia="黑体"/>
          <w:bCs/>
          <w:color w:val="auto"/>
          <w:szCs w:val="32"/>
          <w:highlight w:val="none"/>
        </w:rPr>
      </w:pPr>
      <w:r>
        <w:rPr>
          <w:rFonts w:hint="eastAsia" w:ascii="黑体" w:hAnsi="黑体" w:eastAsia="黑体" w:cs="黑体"/>
          <w:color w:val="000000"/>
          <w:kern w:val="2"/>
          <w:sz w:val="32"/>
          <w:szCs w:val="32"/>
          <w:highlight w:val="none"/>
          <w:lang w:val="en-US" w:eastAsia="zh-CN"/>
        </w:rPr>
        <w:t>七、</w:t>
      </w:r>
      <w:r>
        <w:rPr>
          <w:rFonts w:hint="eastAsia" w:ascii="黑体" w:hAnsi="黑体" w:eastAsia="黑体" w:cs="黑体"/>
          <w:color w:val="000000"/>
          <w:kern w:val="2"/>
          <w:sz w:val="32"/>
          <w:szCs w:val="32"/>
          <w:highlight w:val="none"/>
        </w:rPr>
        <w:t>广西</w:t>
      </w:r>
      <w:r>
        <w:rPr>
          <w:rFonts w:hint="eastAsia" w:ascii="黑体" w:hAnsi="黑体" w:eastAsia="黑体" w:cs="黑体"/>
          <w:color w:val="000000"/>
          <w:kern w:val="2"/>
          <w:sz w:val="32"/>
          <w:szCs w:val="32"/>
          <w:highlight w:val="none"/>
          <w:lang w:val="en-US" w:eastAsia="zh-CN"/>
        </w:rPr>
        <w:t>机器人</w:t>
      </w:r>
      <w:r>
        <w:rPr>
          <w:rFonts w:hint="eastAsia" w:ascii="黑体" w:hAnsi="黑体" w:eastAsia="黑体" w:cs="黑体"/>
          <w:color w:val="000000"/>
          <w:kern w:val="2"/>
          <w:sz w:val="32"/>
          <w:szCs w:val="32"/>
          <w:highlight w:val="none"/>
        </w:rPr>
        <w:t>产业</w:t>
      </w:r>
      <w:r>
        <w:rPr>
          <w:rFonts w:hint="eastAsia" w:ascii="黑体" w:hAnsi="黑体" w:eastAsia="黑体" w:cs="黑体"/>
          <w:color w:val="000000"/>
          <w:kern w:val="2"/>
          <w:sz w:val="32"/>
          <w:szCs w:val="32"/>
          <w:highlight w:val="none"/>
          <w:lang w:val="en-US" w:eastAsia="zh-CN"/>
        </w:rPr>
        <w:t>培育</w:t>
      </w:r>
      <w:r>
        <w:rPr>
          <w:rFonts w:hint="eastAsia" w:ascii="黑体" w:hAnsi="黑体" w:eastAsia="黑体" w:cs="黑体"/>
          <w:color w:val="000000"/>
          <w:kern w:val="2"/>
          <w:sz w:val="32"/>
          <w:szCs w:val="32"/>
          <w:highlight w:val="none"/>
        </w:rPr>
        <w:t>发展战略研究</w:t>
      </w:r>
    </w:p>
    <w:p w14:paraId="2C45CFAB">
      <w:pPr>
        <w:pStyle w:val="17"/>
        <w:keepNext w:val="0"/>
        <w:keepLines w:val="0"/>
        <w:pageBreakBefore w:val="0"/>
        <w:widowControl w:val="0"/>
        <w:kinsoku/>
        <w:wordWrap/>
        <w:overflowPunct/>
        <w:topLinePunct w:val="0"/>
        <w:autoSpaceDE/>
        <w:autoSpaceDN/>
        <w:bidi w:val="0"/>
        <w:adjustRightInd w:val="0"/>
        <w:snapToGrid/>
        <w:spacing w:line="580" w:lineRule="exact"/>
        <w:ind w:left="0" w:firstLine="643"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Times New Roman" w:eastAsia="楷体_GB2312" w:cs="Times New Roman"/>
          <w:b/>
          <w:bCs/>
          <w:color w:val="auto"/>
          <w:kern w:val="32"/>
          <w:sz w:val="32"/>
          <w:szCs w:val="32"/>
          <w:highlight w:val="none"/>
          <w:lang w:val="en-US" w:eastAsia="zh-CN" w:bidi="ar-SA"/>
        </w:rPr>
        <w:t>研究内容：</w:t>
      </w:r>
      <w:r>
        <w:rPr>
          <w:rFonts w:hint="eastAsia" w:ascii="仿宋_GB2312" w:hAnsi="仿宋_GB2312" w:eastAsia="仿宋_GB2312" w:cs="仿宋_GB2312"/>
          <w:b w:val="0"/>
          <w:bCs w:val="0"/>
          <w:color w:val="auto"/>
          <w:kern w:val="2"/>
          <w:sz w:val="32"/>
          <w:szCs w:val="32"/>
          <w:highlight w:val="none"/>
          <w:lang w:val="en-US" w:eastAsia="zh-CN" w:bidi="ar-SA"/>
        </w:rPr>
        <w:t>分析国内外相关产业发展现状和广西培育发展机器人行业的基础与潜力，挖掘机器人及零部件的关键核心技术，推进机器人在智能制造、特殊环境作业等多领域的产品研制及应用，绘制广西机器人产业技术路线图和产业链图谱，从政策扶持、产业链条延伸、企业培育、技术创新等方面提出广西机器人产业发展对策。</w:t>
      </w:r>
    </w:p>
    <w:p w14:paraId="573DFC1F">
      <w:pPr>
        <w:pStyle w:val="17"/>
        <w:spacing w:line="100" w:lineRule="exact"/>
        <w:rPr>
          <w:rFonts w:ascii="Times New Roman" w:hAnsi="Times New Roman" w:eastAsia="仿宋_GB2312" w:cs="Times New Roman"/>
          <w:color w:val="auto"/>
          <w:sz w:val="32"/>
          <w:szCs w:val="32"/>
          <w:highlight w:val="none"/>
        </w:rPr>
      </w:pPr>
      <w:bookmarkStart w:id="0" w:name="_GoBack"/>
      <w:bookmarkEnd w:id="0"/>
    </w:p>
    <w:sectPr>
      <w:headerReference r:id="rId3" w:type="default"/>
      <w:footerReference r:id="rId4" w:type="default"/>
      <w:footerReference r:id="rId5" w:type="even"/>
      <w:pgSz w:w="11906" w:h="16838"/>
      <w:pgMar w:top="2098" w:right="1531" w:bottom="1701" w:left="1531" w:header="851" w:footer="1417" w:gutter="0"/>
      <w:paperSrc/>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901BF">
    <w:pPr>
      <w:pStyle w:val="6"/>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DABC9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icHuIBAADMAwAADgAAAGRycy9lMm9Eb2MueG1srVPNjtMwEL4j8Q6W&#10;7zTZCq2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pIzJyxd+Pn7t/OPX+efX9l1&#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nicHuIBAADMAwAADgAA&#10;AAAAAAABACAAAAAeAQAAZHJzL2Uyb0RvYy54bWxQSwUGAAAAAAYABgBZAQAAcgUAAAAA&#10;">
              <v:fill on="f" focussize="0,0"/>
              <v:stroke on="f"/>
              <v:imagedata o:title=""/>
              <o:lock v:ext="edit" aspectratio="f"/>
              <v:textbox inset="0mm,0mm,0mm,0mm" style="mso-fit-shape-to-text:t;">
                <w:txbxContent>
                  <w:p w14:paraId="4ADABC9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F70E">
    <w:pPr>
      <w:pStyle w:val="6"/>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6ACE3B">
                          <w:pPr>
                            <w:pStyle w:val="6"/>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726ACE3B">
                    <w:pPr>
                      <w:pStyle w:val="6"/>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0F503">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3"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65557FF9">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Kh+&#10;bs0AAAD/AAAADwAAAAAAAAABACAAAAAiAAAAZHJzL2Rvd25yZXYueG1sUEsBAhQAFAAAAAgAh07i&#10;QEAgf1G7AQAAiAMAAA4AAAAAAAAAAQAgAAAAHAEAAGRycy9lMm9Eb2MueG1sUEsFBgAAAAAGAAYA&#10;WQEAAEkFAAAAAA==&#10;">
              <v:fill on="f" focussize="0,0"/>
              <v:stroke on="f"/>
              <v:imagedata o:title=""/>
              <o:lock v:ext="edit" aspectratio="f"/>
              <v:textbox>
                <w:txbxContent>
                  <w:p w14:paraId="65557FF9">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1DD6403"/>
    <w:rsid w:val="05CE6EB1"/>
    <w:rsid w:val="05D82862"/>
    <w:rsid w:val="06486A43"/>
    <w:rsid w:val="087F6923"/>
    <w:rsid w:val="0A505969"/>
    <w:rsid w:val="0BBB1DF2"/>
    <w:rsid w:val="0E461CF5"/>
    <w:rsid w:val="10247CC6"/>
    <w:rsid w:val="1A89636E"/>
    <w:rsid w:val="1E925311"/>
    <w:rsid w:val="1FFB6BB7"/>
    <w:rsid w:val="20016901"/>
    <w:rsid w:val="210C6647"/>
    <w:rsid w:val="266A2317"/>
    <w:rsid w:val="26BC7BDE"/>
    <w:rsid w:val="29E1421C"/>
    <w:rsid w:val="2BF73B1C"/>
    <w:rsid w:val="2E346889"/>
    <w:rsid w:val="2E6F0E7A"/>
    <w:rsid w:val="2F724463"/>
    <w:rsid w:val="31322CFF"/>
    <w:rsid w:val="32282F23"/>
    <w:rsid w:val="3AB853BF"/>
    <w:rsid w:val="3DDE4BD0"/>
    <w:rsid w:val="4D503D56"/>
    <w:rsid w:val="4E150AA9"/>
    <w:rsid w:val="55625F0C"/>
    <w:rsid w:val="59E85AF8"/>
    <w:rsid w:val="5AF35FEF"/>
    <w:rsid w:val="5C142F3C"/>
    <w:rsid w:val="5CBD06AF"/>
    <w:rsid w:val="5CC44C22"/>
    <w:rsid w:val="5EAA052D"/>
    <w:rsid w:val="5F2A78FD"/>
    <w:rsid w:val="642971E3"/>
    <w:rsid w:val="66C9548A"/>
    <w:rsid w:val="67740A7A"/>
    <w:rsid w:val="689045F9"/>
    <w:rsid w:val="68F71BE0"/>
    <w:rsid w:val="6D7F6622"/>
    <w:rsid w:val="6F0A100D"/>
    <w:rsid w:val="6FB21ED4"/>
    <w:rsid w:val="70A9249C"/>
    <w:rsid w:val="71D2121E"/>
    <w:rsid w:val="73466D96"/>
    <w:rsid w:val="75477E01"/>
    <w:rsid w:val="765F1111"/>
    <w:rsid w:val="79FE519E"/>
    <w:rsid w:val="7BF713E3"/>
    <w:rsid w:val="7E981791"/>
    <w:rsid w:val="7EEF223B"/>
    <w:rsid w:val="7FBA09F2"/>
    <w:rsid w:val="9DFC269C"/>
    <w:rsid w:val="BD7F20FC"/>
    <w:rsid w:val="BEFFCE19"/>
    <w:rsid w:val="DBBF0558"/>
    <w:rsid w:val="DDBF77E5"/>
    <w:rsid w:val="DE5F22D3"/>
    <w:rsid w:val="DF7746B4"/>
    <w:rsid w:val="DFFF63CD"/>
    <w:rsid w:val="F3EF5292"/>
    <w:rsid w:val="FDFDAB2E"/>
    <w:rsid w:val="FF7FC1DB"/>
    <w:rsid w:val="FFBF3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index 6"/>
    <w:next w:val="1"/>
    <w:qFormat/>
    <w:uiPriority w:val="99"/>
    <w:pPr>
      <w:widowControl w:val="0"/>
      <w:ind w:left="2100"/>
      <w:jc w:val="both"/>
    </w:pPr>
    <w:rPr>
      <w:rFonts w:ascii="Calibri" w:hAnsi="Calibri" w:eastAsia="宋体" w:cs="Times New Roman"/>
      <w:kern w:val="2"/>
      <w:sz w:val="21"/>
      <w:szCs w:val="24"/>
      <w:lang w:val="en-US" w:eastAsia="zh-CN" w:bidi="ar-SA"/>
    </w:r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qFormat/>
    <w:uiPriority w:val="0"/>
  </w:style>
  <w:style w:type="character" w:customStyle="1" w:styleId="14">
    <w:name w:val="页脚 Char"/>
    <w:basedOn w:val="11"/>
    <w:link w:val="6"/>
    <w:qFormat/>
    <w:uiPriority w:val="99"/>
    <w:rPr>
      <w:kern w:val="2"/>
      <w:sz w:val="18"/>
      <w:szCs w:val="18"/>
    </w:rPr>
  </w:style>
  <w:style w:type="character" w:customStyle="1" w:styleId="15">
    <w:name w:val="批注框文本 Char"/>
    <w:basedOn w:val="11"/>
    <w:link w:val="5"/>
    <w:qFormat/>
    <w:uiPriority w:val="0"/>
    <w:rPr>
      <w:kern w:val="2"/>
      <w:sz w:val="18"/>
      <w:szCs w:val="18"/>
    </w:rPr>
  </w:style>
  <w:style w:type="character" w:customStyle="1" w:styleId="16">
    <w:name w:val="页眉 Char"/>
    <w:basedOn w:val="11"/>
    <w:link w:val="7"/>
    <w:qFormat/>
    <w:uiPriority w:val="99"/>
    <w:rPr>
      <w:kern w:val="2"/>
      <w:sz w:val="18"/>
      <w:szCs w:val="18"/>
    </w:rPr>
  </w:style>
  <w:style w:type="paragraph" w:customStyle="1" w:styleId="17">
    <w:name w:val="Default"/>
    <w:basedOn w:val="18"/>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纯文本1"/>
    <w:basedOn w:val="1"/>
    <w:qFormat/>
    <w:uiPriority w:val="0"/>
    <w:pPr>
      <w:textAlignment w:val="baseline"/>
    </w:pPr>
    <w:rPr>
      <w:rFonts w:hint="eastAsia" w:ascii="宋体" w:hAnsi="Courier New" w:eastAsia="宋体" w:cs="Times New Roman"/>
      <w:sz w:val="21"/>
      <w:szCs w:val="24"/>
    </w:rPr>
  </w:style>
  <w:style w:type="paragraph" w:customStyle="1" w:styleId="19">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1">
    <w:name w:val="List Paragraph"/>
    <w:basedOn w:val="1"/>
    <w:unhideWhenUsed/>
    <w:qFormat/>
    <w:uiPriority w:val="99"/>
    <w:pPr>
      <w:ind w:firstLine="420" w:firstLineChars="200"/>
    </w:pPr>
  </w:style>
  <w:style w:type="paragraph" w:customStyle="1" w:styleId="22">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3</Pages>
  <Words>760</Words>
  <Characters>903</Characters>
  <Lines>1</Lines>
  <Paragraphs>1</Paragraphs>
  <TotalTime>4</TotalTime>
  <ScaleCrop>false</ScaleCrop>
  <LinksUpToDate>false</LinksUpToDate>
  <CharactersWithSpaces>904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2020-03-16T08:33:00Z</dcterms:created>
  <dc:creator>梁晖</dc:creator>
  <cp:lastModifiedBy>墨迹夏子</cp:lastModifiedBy>
  <cp:lastPrinted>2025-08-07T09:21:12Z</cp:lastPrinted>
  <dcterms:modified xsi:type="dcterms:W3CDTF">2025-08-06T09:58:02Z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F1FD897F8907449790921E29090D92D6_13</vt:lpwstr>
  </property>
</Properties>
</file>